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2" w:rsidRPr="00B62A12" w:rsidRDefault="00B62A12" w:rsidP="00B62A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B62A12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НОРМАТИВНО-ПРАВОВАЯ БАЗА ПО ЭНЕРГОСБЕРЕЖЕНИЮ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Основным шагом, направленным на комплексное решение проблемы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стало принятие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В соответствии с 261 законом «Об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», принята федеральная программа повышения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во всех субъектах РФ разработаны региональные программы энергосбережения. Основная цель данных программ - решить поставленную Президентом задачу по снижению энер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гоемкости ВВП на 40% к 2020 году.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 xml:space="preserve">1.1 Федеральный закон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(с </w:t>
      </w:r>
      <w:proofErr w:type="spellStart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>изм</w:t>
      </w:r>
      <w:proofErr w:type="spellEnd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>. и доп., вступ. в силу с 29.12.2014).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С принятием Федерального закона от 23.11.2009 г. № 261 проблема энергосбережения и повышения энергетической эффективности приобрела статус одной из приоритетных государственных задач. Для реализации, которой были установлены конкретные законодательные нормы по повышению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в стране.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Основная его задача при исполнении, это повышение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 энергосбережения путём проведения ряда обязательственных требований. Практика показывает, что приблизительно 5-10% энергосберегающих мероприятий не требует ни каких финансовых вложений. Около 65 % мероприятий относятся к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малозатратным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предположительно со сроком окупаемости от одного года до двух лет. И только оставшаяся часть, приблизительно 15-20% действительно требует капитальных затрат, со сроком окупаемости три года и более.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Данным законом были утверждены основы стимулирования энергосбережения и повышения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Отдельные категории товаров (например, бытовые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энергопотребляющие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устройства, компьютеры) должны будут содержать информацию о классе их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в технической документации, маркировке, на этикетках. За ее отсутствие предусмотрен административный штраф (в некоторых случаях с конфискацией товаров).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С 2011 г. запрещается оборот на территории России электрических ламп накаливания мощностью 100 ватт и более.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Здания, строения, сооружения должны быть оснащены приборами учета энергоресурсов до 2011 г., жилые дома - до 2012 г. Зданиям планируют присваивать классы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с обязательным информированием об этом (например, на фасаде). За нарушение указанных требований будут взиматься административные штрафы (в настоящее время эти сроки пересматриваются).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Планируется перейти к регулированию цен (тарифов) на услуги по передаче электроэнергии в форме долгосрочных тарифов на основе долгосрочных параметров регулирования деятельности сетевых организаций (в том числе с применением метода обеспечения доходности инвестированного капитала).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Устанавливается норматив снижения объемов энергопотребления бюджетными организациями.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Предусматриваются стимулы для повышения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производств (например, ускоренная амортизация по основным средствам, имеющим </w:t>
      </w:r>
      <w:proofErr w:type="gram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высокую</w:t>
      </w:r>
      <w:proofErr w:type="gram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энергоэффективность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).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В гражданский оборот вводятся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энергосервисные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контракты, по которым исполнители будут повышать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энергоэффективность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использования энергоресурсов заказчиком.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С истечением отведенного законом времени на выполнение требований данного ФЗ стало понятно, что результат оказался практически нулевым. Одна из причин кроется в том, что всё было построено на разработке энергетического паспорта, </w:t>
      </w:r>
      <w:proofErr w:type="gram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который</w:t>
      </w:r>
      <w:proofErr w:type="gram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по сути никому не нужен. Появилась целая индустрия услуг в помощь при разработке энергетического паспорта, но никак не в помощь грамотного проведённого энергетического обследования. В сфере энергосбережения появилось множество компаний дилетантов, предлагающих свои услуги по низким ценам, данные компании не проводили детального обследования объекта, а просто запрашивали от объекта паспортизации необходимые данные и заполняли формы паспорта. В свою очередь представители объектов обследования оставались равнодушными к форме и содержанию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энергопаспорта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 рассматривали его только как доказательство того, что они чисты перед законом и не более того.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На данный момент в силу вступила новая редакция данного ФЗ от 28.12.2013, в которую был внесён ряд поправок.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Теперь обязательным результатом энергетического обследования является не только энергетический паспорт, но, прежде всего, отчет об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энергообследовании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требования к которому будут разработаны Минэнерго России.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Повышается материальная ответственность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саморегулируемых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организаций (СРО): с момента, когда СРО проставила на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энергопаспорте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отметку о соответствии результатов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энергообследования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всем установленным требованиям, в том числе стандартам и правилам самой СРО, компания -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энергоаудитор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 СРО несут солидарную ответственность перед заказчиком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энергообследования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за возможные убытки, причиненные вследствие его недостатков.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Перечень мероприятий, которые должен разработать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энергоаудитор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по результатам энергетического обследования, больше не ограничивается типовыми и общедоступными мероприятиями.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Вместо ранее действовавшего порога для попадания объекта в список, для кого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энергообследование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обязательно (годовые затраты на ТЭР в размере 10 млн. руб.) теперь будет действовать специально утвержденная уполномоченным органом величина объема потр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ебления ТЭР.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    </w:t>
      </w:r>
      <w:proofErr w:type="gram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К тому же, для всех категорий объектов, в отношении которых предусмотрены обязательные энергетические обследования, теперь вводится дополнительная градация – если по итогам года, предшествующего году проведения 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энергообследования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совокупные затраты объекта на ТЭР не превышают величину, установленную уполномоченным органом Правительства, он вправе не проводить энергетическое обследование, а ограничиться подачей в федеральный орган исполнительной власти информации об энергосбережении и о повышении энергетической эффективности.</w:t>
      </w:r>
      <w:proofErr w:type="gramEnd"/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>1.2 Распоряжение Правительства РФ от 03.04.2013 N 512-р</w:t>
      </w:r>
      <w:proofErr w:type="gramStart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 xml:space="preserve"> О</w:t>
      </w:r>
      <w:proofErr w:type="gramEnd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>б утверждении государственной программы "</w:t>
      </w:r>
      <w:proofErr w:type="spellStart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>Энергоэффективность</w:t>
      </w:r>
      <w:proofErr w:type="spellEnd"/>
      <w:r w:rsidRPr="00287750">
        <w:rPr>
          <w:rFonts w:ascii="Times New Roman" w:eastAsia="Times New Roman" w:hAnsi="Times New Roman" w:cs="Times New Roman"/>
          <w:b/>
          <w:bCs/>
          <w:color w:val="424242"/>
          <w:sz w:val="19"/>
          <w:szCs w:val="19"/>
          <w:lang w:eastAsia="ru-RU"/>
        </w:rPr>
        <w:t xml:space="preserve"> и развитие энергетики"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Правительством РФ утверждена госпрограмма "</w:t>
      </w:r>
      <w:proofErr w:type="spellStart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Энергоэффективность</w:t>
      </w:r>
      <w:proofErr w:type="spellEnd"/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 развитие энергетики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»</w:t>
      </w: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. Она рассчитана на 2013-2020 гг.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Цель госпрограммы - надёжное обеспечение страны топливно-энергетическими ресурсами, повышение эффективности их использования, снижение антропогенного воздействия ТЭК (топливно-энергетического комплекса) на окружающую среду.</w:t>
      </w:r>
    </w:p>
    <w:p w:rsidR="00B62A12" w:rsidRPr="00B62A12" w:rsidRDefault="00287750" w:rsidP="00287750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proofErr w:type="spellStart"/>
      <w:proofErr w:type="gramStart"/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З</w:t>
      </w:r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адачи-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о</w:t>
      </w:r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беспечить</w:t>
      </w:r>
      <w:proofErr w:type="spellEnd"/>
      <w:proofErr w:type="gramEnd"/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развитие энергосбережения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 и повысить </w:t>
      </w:r>
      <w:proofErr w:type="spellStart"/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энергоэффективность</w:t>
      </w:r>
      <w:proofErr w:type="spellEnd"/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у</w:t>
      </w:r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совершенствовать технологии добычи и транспортировки углеводородного сырья и увеличить глубину его переработки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 р</w:t>
      </w:r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 xml:space="preserve">азвить использование возобновляемых источников энергии и повысить экологическую 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эффективность энергетики, с</w:t>
      </w:r>
      <w:r w:rsidR="00B62A12"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одействие инновационному развитию топливно-энергетического комплекса</w:t>
      </w:r>
      <w:r w:rsidRPr="00287750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,</w:t>
      </w:r>
    </w:p>
    <w:p w:rsidR="00B62A12" w:rsidRPr="00B62A12" w:rsidRDefault="00B62A12" w:rsidP="00B62A12">
      <w:pPr>
        <w:spacing w:after="0" w:line="240" w:lineRule="auto"/>
        <w:ind w:left="130" w:right="130"/>
        <w:jc w:val="both"/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</w:pPr>
      <w:r w:rsidRPr="00B62A12">
        <w:rPr>
          <w:rFonts w:ascii="Times New Roman" w:eastAsia="Times New Roman" w:hAnsi="Times New Roman" w:cs="Times New Roman"/>
          <w:color w:val="424242"/>
          <w:sz w:val="19"/>
          <w:szCs w:val="19"/>
          <w:lang w:eastAsia="ru-RU"/>
        </w:rPr>
        <w:t> </w:t>
      </w:r>
    </w:p>
    <w:p w:rsidR="00D03687" w:rsidRPr="00287750" w:rsidRDefault="00D03687" w:rsidP="00B62A1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sectPr w:rsidR="00D03687" w:rsidRPr="00287750" w:rsidSect="00287750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2A12"/>
    <w:rsid w:val="00287750"/>
    <w:rsid w:val="004700D5"/>
    <w:rsid w:val="006C0B31"/>
    <w:rsid w:val="00963831"/>
    <w:rsid w:val="00B62A12"/>
    <w:rsid w:val="00D03687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paragraph" w:styleId="1">
    <w:name w:val="heading 1"/>
    <w:basedOn w:val="a"/>
    <w:link w:val="10"/>
    <w:uiPriority w:val="9"/>
    <w:qFormat/>
    <w:rsid w:val="00B6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A12"/>
    <w:pPr>
      <w:spacing w:before="130" w:after="130" w:line="240" w:lineRule="auto"/>
      <w:ind w:left="130" w:right="130"/>
    </w:pPr>
    <w:rPr>
      <w:rFonts w:ascii="Arial" w:eastAsia="Times New Roman" w:hAnsi="Arial" w:cs="Arial"/>
      <w:color w:val="424242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2021-01-18T07:10:00Z</dcterms:created>
  <dcterms:modified xsi:type="dcterms:W3CDTF">2021-01-18T07:35:00Z</dcterms:modified>
</cp:coreProperties>
</file>